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6568C" w14:textId="68415415" w:rsidR="00FD57F5" w:rsidRDefault="0048001B" w:rsidP="006130DD">
      <w:pPr>
        <w:spacing w:after="0" w:line="240" w:lineRule="auto"/>
        <w:jc w:val="center"/>
        <w:rPr>
          <w:rFonts w:cstheme="minorHAnsi"/>
          <w:b/>
          <w:bCs/>
          <w:sz w:val="28"/>
          <w:szCs w:val="28"/>
        </w:rPr>
      </w:pPr>
      <w:r w:rsidRPr="00F4772F">
        <w:rPr>
          <w:rFonts w:cstheme="minorHAnsi"/>
          <w:b/>
          <w:bCs/>
          <w:sz w:val="28"/>
          <w:szCs w:val="28"/>
        </w:rPr>
        <w:br/>
      </w:r>
    </w:p>
    <w:p w14:paraId="4261870A" w14:textId="77777777" w:rsidR="00F4772F" w:rsidRDefault="00F4772F" w:rsidP="006130DD">
      <w:pPr>
        <w:spacing w:after="0" w:line="240" w:lineRule="auto"/>
        <w:jc w:val="center"/>
        <w:rPr>
          <w:rFonts w:cstheme="minorHAnsi"/>
          <w:b/>
          <w:bCs/>
          <w:sz w:val="28"/>
          <w:szCs w:val="28"/>
        </w:rPr>
      </w:pPr>
    </w:p>
    <w:p w14:paraId="66456499" w14:textId="274D131A" w:rsidR="00F4772F" w:rsidRDefault="00F4772F" w:rsidP="006130DD">
      <w:pPr>
        <w:spacing w:after="0" w:line="240" w:lineRule="auto"/>
        <w:jc w:val="center"/>
        <w:rPr>
          <w:rFonts w:cstheme="minorHAnsi"/>
          <w:b/>
          <w:bCs/>
          <w:sz w:val="28"/>
          <w:szCs w:val="28"/>
        </w:rPr>
      </w:pPr>
      <w:r>
        <w:rPr>
          <w:rFonts w:cstheme="minorHAnsi"/>
          <w:b/>
          <w:bCs/>
          <w:sz w:val="28"/>
          <w:szCs w:val="28"/>
        </w:rPr>
        <w:t>Treasurer’s Report</w:t>
      </w:r>
    </w:p>
    <w:p w14:paraId="583DDC4A" w14:textId="0899AD54" w:rsidR="00F4772F" w:rsidRDefault="00F4772F" w:rsidP="006130DD">
      <w:pPr>
        <w:spacing w:after="0" w:line="240" w:lineRule="auto"/>
        <w:jc w:val="center"/>
        <w:rPr>
          <w:rFonts w:cstheme="minorHAnsi"/>
          <w:b/>
          <w:bCs/>
          <w:sz w:val="28"/>
          <w:szCs w:val="28"/>
        </w:rPr>
      </w:pPr>
      <w:r>
        <w:rPr>
          <w:rFonts w:cstheme="minorHAnsi"/>
          <w:b/>
          <w:bCs/>
          <w:sz w:val="28"/>
          <w:szCs w:val="28"/>
        </w:rPr>
        <w:t>January 4,2024</w:t>
      </w:r>
    </w:p>
    <w:p w14:paraId="7C695E24" w14:textId="77777777" w:rsidR="00F4772F" w:rsidRDefault="00F4772F" w:rsidP="006130DD">
      <w:pPr>
        <w:spacing w:after="0" w:line="240" w:lineRule="auto"/>
        <w:jc w:val="center"/>
        <w:rPr>
          <w:rFonts w:cstheme="minorHAnsi"/>
          <w:b/>
          <w:bCs/>
          <w:sz w:val="28"/>
          <w:szCs w:val="28"/>
        </w:rPr>
      </w:pPr>
    </w:p>
    <w:p w14:paraId="45D4071D" w14:textId="73FE5BAA" w:rsidR="00F4772F" w:rsidRDefault="00924A9A" w:rsidP="00F4772F">
      <w:pPr>
        <w:spacing w:after="0" w:line="240" w:lineRule="auto"/>
        <w:rPr>
          <w:rFonts w:cstheme="minorHAnsi"/>
          <w:sz w:val="28"/>
          <w:szCs w:val="28"/>
        </w:rPr>
      </w:pPr>
      <w:r>
        <w:rPr>
          <w:rFonts w:cstheme="minorHAnsi"/>
          <w:sz w:val="28"/>
          <w:szCs w:val="28"/>
        </w:rPr>
        <w:t>Craig Baldwin and I met for a couple of hours with Carrie Toennis, HGA’s new controller, Friday morning December 22</w:t>
      </w:r>
      <w:r w:rsidRPr="00924A9A">
        <w:rPr>
          <w:rFonts w:cstheme="minorHAnsi"/>
          <w:sz w:val="28"/>
          <w:szCs w:val="28"/>
          <w:vertAlign w:val="superscript"/>
        </w:rPr>
        <w:t>nd</w:t>
      </w:r>
      <w:r>
        <w:rPr>
          <w:rFonts w:cstheme="minorHAnsi"/>
          <w:sz w:val="28"/>
          <w:szCs w:val="28"/>
        </w:rPr>
        <w:t>.  Carrie is still working on November financial reports and explained that she wants them right before she releases them.</w:t>
      </w:r>
    </w:p>
    <w:p w14:paraId="6ECF797E" w14:textId="77777777" w:rsidR="00924A9A" w:rsidRDefault="00924A9A" w:rsidP="00F4772F">
      <w:pPr>
        <w:spacing w:after="0" w:line="240" w:lineRule="auto"/>
        <w:rPr>
          <w:rFonts w:cstheme="minorHAnsi"/>
          <w:sz w:val="28"/>
          <w:szCs w:val="28"/>
        </w:rPr>
      </w:pPr>
    </w:p>
    <w:p w14:paraId="05695361" w14:textId="1F3003C0" w:rsidR="00924A9A" w:rsidRDefault="00924A9A" w:rsidP="00F4772F">
      <w:pPr>
        <w:spacing w:after="0" w:line="240" w:lineRule="auto"/>
        <w:rPr>
          <w:rFonts w:cstheme="minorHAnsi"/>
          <w:sz w:val="28"/>
          <w:szCs w:val="28"/>
        </w:rPr>
      </w:pPr>
      <w:r>
        <w:rPr>
          <w:rFonts w:cstheme="minorHAnsi"/>
          <w:sz w:val="28"/>
          <w:szCs w:val="28"/>
        </w:rPr>
        <w:t xml:space="preserve">Carrie and  I discussed alternatives for accounting for HGMD’s revenue and expenses.  I explained the I had never been given the choice to approve payables before they were paid and only see expenses a month later after money is spent.  </w:t>
      </w:r>
      <w:r w:rsidR="009C1D76">
        <w:rPr>
          <w:rFonts w:cstheme="minorHAnsi"/>
          <w:sz w:val="28"/>
          <w:szCs w:val="28"/>
        </w:rPr>
        <w:t>A</w:t>
      </w:r>
      <w:r>
        <w:rPr>
          <w:rFonts w:cstheme="minorHAnsi"/>
          <w:sz w:val="28"/>
          <w:szCs w:val="28"/>
        </w:rPr>
        <w:t xml:space="preserve"> written standard operating procedure </w:t>
      </w:r>
      <w:r w:rsidR="007E055F">
        <w:rPr>
          <w:rFonts w:cstheme="minorHAnsi"/>
          <w:sz w:val="28"/>
          <w:szCs w:val="28"/>
        </w:rPr>
        <w:t xml:space="preserve">for accounting and HGMD </w:t>
      </w:r>
      <w:r w:rsidR="00AE1370">
        <w:rPr>
          <w:rFonts w:cstheme="minorHAnsi"/>
          <w:sz w:val="28"/>
          <w:szCs w:val="28"/>
        </w:rPr>
        <w:t>doesn’t seem to be in existence.</w:t>
      </w:r>
      <w:r>
        <w:rPr>
          <w:rFonts w:cstheme="minorHAnsi"/>
          <w:sz w:val="28"/>
          <w:szCs w:val="28"/>
        </w:rPr>
        <w:t xml:space="preserve">  </w:t>
      </w:r>
      <w:r w:rsidR="005D72DE">
        <w:rPr>
          <w:rFonts w:cstheme="minorHAnsi"/>
          <w:sz w:val="28"/>
          <w:szCs w:val="28"/>
        </w:rPr>
        <w:t>Carrie has laid one out for approving payables.</w:t>
      </w:r>
    </w:p>
    <w:p w14:paraId="6D2ABDF2" w14:textId="77777777" w:rsidR="00924A9A" w:rsidRDefault="00924A9A" w:rsidP="00F4772F">
      <w:pPr>
        <w:spacing w:after="0" w:line="240" w:lineRule="auto"/>
        <w:rPr>
          <w:rFonts w:cstheme="minorHAnsi"/>
          <w:sz w:val="28"/>
          <w:szCs w:val="28"/>
        </w:rPr>
      </w:pPr>
    </w:p>
    <w:p w14:paraId="6B30A03C" w14:textId="77777777" w:rsidR="007B0F41" w:rsidRDefault="00924A9A" w:rsidP="00F4772F">
      <w:pPr>
        <w:spacing w:after="0" w:line="240" w:lineRule="auto"/>
        <w:rPr>
          <w:rFonts w:cstheme="minorHAnsi"/>
          <w:sz w:val="28"/>
          <w:szCs w:val="28"/>
        </w:rPr>
      </w:pPr>
      <w:r>
        <w:rPr>
          <w:rFonts w:cstheme="minorHAnsi"/>
          <w:sz w:val="28"/>
          <w:szCs w:val="28"/>
        </w:rPr>
        <w:t xml:space="preserve">Vickie Wu, accounts payable clerk, will  batch invoices </w:t>
      </w:r>
      <w:r w:rsidR="007B0F41">
        <w:rPr>
          <w:rFonts w:cstheme="minorHAnsi"/>
          <w:sz w:val="28"/>
          <w:szCs w:val="28"/>
        </w:rPr>
        <w:t xml:space="preserve">so that </w:t>
      </w:r>
      <w:r>
        <w:rPr>
          <w:rFonts w:cstheme="minorHAnsi"/>
          <w:sz w:val="28"/>
          <w:szCs w:val="28"/>
        </w:rPr>
        <w:t xml:space="preserve">a designated HGMD officer </w:t>
      </w:r>
      <w:r w:rsidR="007B0F41">
        <w:rPr>
          <w:rFonts w:cstheme="minorHAnsi"/>
          <w:sz w:val="28"/>
          <w:szCs w:val="28"/>
        </w:rPr>
        <w:t>can</w:t>
      </w:r>
      <w:r>
        <w:rPr>
          <w:rFonts w:cstheme="minorHAnsi"/>
          <w:sz w:val="28"/>
          <w:szCs w:val="28"/>
        </w:rPr>
        <w:t xml:space="preserve"> approve prior to payment, available every other Wednesday beginning January 3</w:t>
      </w:r>
      <w:r w:rsidRPr="00924A9A">
        <w:rPr>
          <w:rFonts w:cstheme="minorHAnsi"/>
          <w:sz w:val="28"/>
          <w:szCs w:val="28"/>
          <w:vertAlign w:val="superscript"/>
        </w:rPr>
        <w:t>rd</w:t>
      </w:r>
      <w:r w:rsidR="007B0F41">
        <w:rPr>
          <w:rFonts w:cstheme="minorHAnsi"/>
          <w:sz w:val="28"/>
          <w:szCs w:val="28"/>
        </w:rPr>
        <w:t>.</w:t>
      </w:r>
    </w:p>
    <w:p w14:paraId="253C957A" w14:textId="77777777" w:rsidR="007B0F41" w:rsidRDefault="007B0F41" w:rsidP="00F4772F">
      <w:pPr>
        <w:spacing w:after="0" w:line="240" w:lineRule="auto"/>
        <w:rPr>
          <w:rFonts w:cstheme="minorHAnsi"/>
          <w:sz w:val="28"/>
          <w:szCs w:val="28"/>
        </w:rPr>
      </w:pPr>
    </w:p>
    <w:p w14:paraId="3F5F8B30" w14:textId="77777777" w:rsidR="007B0F41" w:rsidRDefault="007B0F41" w:rsidP="00F4772F">
      <w:pPr>
        <w:spacing w:after="0" w:line="240" w:lineRule="auto"/>
        <w:rPr>
          <w:rFonts w:cstheme="minorHAnsi"/>
          <w:sz w:val="28"/>
          <w:szCs w:val="28"/>
        </w:rPr>
      </w:pPr>
      <w:r>
        <w:rPr>
          <w:rFonts w:cstheme="minorHAnsi"/>
          <w:sz w:val="28"/>
          <w:szCs w:val="28"/>
        </w:rPr>
        <w:t xml:space="preserve">We discussed transferring all revenue received through payment of the Recreation Fee into the HGMD operating account once a month.  It appears that what HGMD wants to do for accountability is possible. </w:t>
      </w:r>
    </w:p>
    <w:p w14:paraId="6931F3A8" w14:textId="77777777" w:rsidR="007B0F41" w:rsidRDefault="007B0F41" w:rsidP="00F4772F">
      <w:pPr>
        <w:spacing w:after="0" w:line="240" w:lineRule="auto"/>
        <w:rPr>
          <w:rFonts w:cstheme="minorHAnsi"/>
          <w:sz w:val="28"/>
          <w:szCs w:val="28"/>
        </w:rPr>
      </w:pPr>
    </w:p>
    <w:p w14:paraId="7462A218" w14:textId="439269B1" w:rsidR="007B0F41" w:rsidRDefault="007B0F41" w:rsidP="00F4772F">
      <w:pPr>
        <w:spacing w:after="0" w:line="240" w:lineRule="auto"/>
        <w:rPr>
          <w:rFonts w:cstheme="minorHAnsi"/>
          <w:sz w:val="28"/>
          <w:szCs w:val="28"/>
        </w:rPr>
      </w:pPr>
      <w:r>
        <w:rPr>
          <w:rFonts w:cstheme="minorHAnsi"/>
          <w:sz w:val="28"/>
          <w:szCs w:val="28"/>
        </w:rPr>
        <w:t xml:space="preserve">HGA could continue to pay approved HGMD vendor invoices from their operating account and bill us monthly for </w:t>
      </w:r>
      <w:r w:rsidR="005D72DE">
        <w:rPr>
          <w:rFonts w:cstheme="minorHAnsi"/>
          <w:sz w:val="28"/>
          <w:szCs w:val="28"/>
        </w:rPr>
        <w:t>approval to</w:t>
      </w:r>
      <w:r>
        <w:rPr>
          <w:rFonts w:cstheme="minorHAnsi"/>
          <w:sz w:val="28"/>
          <w:szCs w:val="28"/>
        </w:rPr>
        <w:t xml:space="preserve"> transfer</w:t>
      </w:r>
      <w:r w:rsidR="000D0E7C">
        <w:rPr>
          <w:rFonts w:cstheme="minorHAnsi"/>
          <w:sz w:val="28"/>
          <w:szCs w:val="28"/>
        </w:rPr>
        <w:t xml:space="preserve"> funds </w:t>
      </w:r>
      <w:r>
        <w:rPr>
          <w:rFonts w:cstheme="minorHAnsi"/>
          <w:sz w:val="28"/>
          <w:szCs w:val="28"/>
        </w:rPr>
        <w:t xml:space="preserve"> from our operating account.  Or they could run all our invoices through our own </w:t>
      </w:r>
      <w:r w:rsidR="00016E4E">
        <w:rPr>
          <w:rFonts w:cstheme="minorHAnsi"/>
          <w:sz w:val="28"/>
          <w:szCs w:val="28"/>
        </w:rPr>
        <w:t xml:space="preserve">checking </w:t>
      </w:r>
      <w:r>
        <w:rPr>
          <w:rFonts w:cstheme="minorHAnsi"/>
          <w:sz w:val="28"/>
          <w:szCs w:val="28"/>
        </w:rPr>
        <w:t xml:space="preserve">account with HGA invoicing us for shared expenses.  Carrie seems to think that there is an easy alternative, though she did caution there could be some additional expense.  There are some applications that might not be available through the accounting system.  </w:t>
      </w:r>
    </w:p>
    <w:p w14:paraId="769387C2" w14:textId="77777777" w:rsidR="007B0F41" w:rsidRDefault="007B0F41" w:rsidP="00F4772F">
      <w:pPr>
        <w:spacing w:after="0" w:line="240" w:lineRule="auto"/>
        <w:rPr>
          <w:rFonts w:cstheme="minorHAnsi"/>
          <w:sz w:val="28"/>
          <w:szCs w:val="28"/>
        </w:rPr>
      </w:pPr>
    </w:p>
    <w:p w14:paraId="2A8F696E" w14:textId="77777777" w:rsidR="005D72DE" w:rsidRDefault="007B0F41" w:rsidP="00F4772F">
      <w:pPr>
        <w:spacing w:after="0" w:line="240" w:lineRule="auto"/>
        <w:rPr>
          <w:rFonts w:cstheme="minorHAnsi"/>
          <w:sz w:val="28"/>
          <w:szCs w:val="28"/>
        </w:rPr>
      </w:pPr>
      <w:r>
        <w:rPr>
          <w:rFonts w:cstheme="minorHAnsi"/>
          <w:sz w:val="28"/>
          <w:szCs w:val="28"/>
        </w:rPr>
        <w:t xml:space="preserve">According to Carrie, the programming is </w:t>
      </w:r>
      <w:r w:rsidR="005D72DE">
        <w:rPr>
          <w:rFonts w:cstheme="minorHAnsi"/>
          <w:sz w:val="28"/>
          <w:szCs w:val="28"/>
        </w:rPr>
        <w:t>so sophisticated that it credits, individually, each unit’s account with each portion of the dues to each category.</w:t>
      </w:r>
      <w:r>
        <w:rPr>
          <w:rFonts w:cstheme="minorHAnsi"/>
          <w:sz w:val="28"/>
          <w:szCs w:val="28"/>
        </w:rPr>
        <w:t xml:space="preserve"> </w:t>
      </w:r>
    </w:p>
    <w:p w14:paraId="36803505" w14:textId="7865357C" w:rsidR="00C82AF4" w:rsidRDefault="005D72DE" w:rsidP="00F4772F">
      <w:pPr>
        <w:spacing w:after="0" w:line="240" w:lineRule="auto"/>
        <w:rPr>
          <w:rFonts w:cstheme="minorHAnsi"/>
          <w:sz w:val="28"/>
          <w:szCs w:val="28"/>
        </w:rPr>
      </w:pPr>
      <w:r>
        <w:rPr>
          <w:rFonts w:cstheme="minorHAnsi"/>
          <w:sz w:val="28"/>
          <w:szCs w:val="28"/>
        </w:rPr>
        <w:t>It totals these.   Therefore, at the end of the month, we know exactly how much was collected as the Recreation Fee.</w:t>
      </w:r>
      <w:r w:rsidR="007B0F41">
        <w:rPr>
          <w:rFonts w:cstheme="minorHAnsi"/>
          <w:sz w:val="28"/>
          <w:szCs w:val="28"/>
        </w:rPr>
        <w:t xml:space="preserve"> </w:t>
      </w:r>
      <w:r w:rsidR="002E5C3B">
        <w:rPr>
          <w:rFonts w:cstheme="minorHAnsi"/>
          <w:sz w:val="28"/>
          <w:szCs w:val="28"/>
        </w:rPr>
        <w:t>W</w:t>
      </w:r>
      <w:r w:rsidR="000B7EB3">
        <w:rPr>
          <w:rFonts w:cstheme="minorHAnsi"/>
          <w:sz w:val="28"/>
          <w:szCs w:val="28"/>
        </w:rPr>
        <w:t>e have never rec</w:t>
      </w:r>
      <w:r w:rsidR="00F10E04">
        <w:rPr>
          <w:rFonts w:cstheme="minorHAnsi"/>
          <w:sz w:val="28"/>
          <w:szCs w:val="28"/>
        </w:rPr>
        <w:t>eived a reconciliation</w:t>
      </w:r>
      <w:r w:rsidR="00D65CEE">
        <w:rPr>
          <w:rFonts w:cstheme="minorHAnsi"/>
          <w:sz w:val="28"/>
          <w:szCs w:val="28"/>
        </w:rPr>
        <w:t>.</w:t>
      </w:r>
    </w:p>
    <w:p w14:paraId="25933257" w14:textId="5D7C1F67" w:rsidR="00924A9A" w:rsidRDefault="005D72DE" w:rsidP="00F4772F">
      <w:pPr>
        <w:spacing w:after="0" w:line="240" w:lineRule="auto"/>
        <w:rPr>
          <w:rFonts w:cstheme="minorHAnsi"/>
          <w:sz w:val="28"/>
          <w:szCs w:val="28"/>
        </w:rPr>
      </w:pPr>
      <w:r>
        <w:rPr>
          <w:rFonts w:cstheme="minorHAnsi"/>
          <w:sz w:val="28"/>
          <w:szCs w:val="28"/>
        </w:rPr>
        <w:lastRenderedPageBreak/>
        <w:t>We did not spend a great deal of time discussing employee wages and benefits.  Carrie is familiar with how we are billed for maintenance and custodial services.  She did mention that the wages we pay are grossed up.  I am assuming that is to include the benefits</w:t>
      </w:r>
      <w:r w:rsidR="00016E4E">
        <w:rPr>
          <w:rFonts w:cstheme="minorHAnsi"/>
          <w:sz w:val="28"/>
          <w:szCs w:val="28"/>
        </w:rPr>
        <w:t xml:space="preserve"> and on</w:t>
      </w:r>
      <w:r w:rsidR="00CF174A">
        <w:rPr>
          <w:rFonts w:cstheme="minorHAnsi"/>
          <w:sz w:val="28"/>
          <w:szCs w:val="28"/>
        </w:rPr>
        <w:t>ly includes shared staff, not exclusive staff</w:t>
      </w:r>
      <w:r>
        <w:rPr>
          <w:rFonts w:cstheme="minorHAnsi"/>
          <w:sz w:val="28"/>
          <w:szCs w:val="28"/>
        </w:rPr>
        <w:t>.  However, it would seem</w:t>
      </w:r>
      <w:r w:rsidR="008E5C6F">
        <w:rPr>
          <w:rFonts w:cstheme="minorHAnsi"/>
          <w:sz w:val="28"/>
          <w:szCs w:val="28"/>
        </w:rPr>
        <w:t>,</w:t>
      </w:r>
      <w:r>
        <w:rPr>
          <w:rFonts w:cstheme="minorHAnsi"/>
          <w:sz w:val="28"/>
          <w:szCs w:val="28"/>
        </w:rPr>
        <w:t xml:space="preserve"> as part of any agreement we </w:t>
      </w:r>
      <w:r w:rsidR="00CF174A">
        <w:rPr>
          <w:rFonts w:cstheme="minorHAnsi"/>
          <w:sz w:val="28"/>
          <w:szCs w:val="28"/>
        </w:rPr>
        <w:t>enter</w:t>
      </w:r>
      <w:r>
        <w:rPr>
          <w:rFonts w:cstheme="minorHAnsi"/>
          <w:sz w:val="28"/>
          <w:szCs w:val="28"/>
        </w:rPr>
        <w:t xml:space="preserve"> to share employees, we should approve those amounts, especially since we will be employing most of our own staff</w:t>
      </w:r>
      <w:r w:rsidR="00C82AF4">
        <w:rPr>
          <w:rFonts w:cstheme="minorHAnsi"/>
          <w:sz w:val="28"/>
          <w:szCs w:val="28"/>
        </w:rPr>
        <w:t xml:space="preserve"> if we go that way.  </w:t>
      </w:r>
      <w:r w:rsidR="008E5C6F">
        <w:rPr>
          <w:rFonts w:cstheme="minorHAnsi"/>
          <w:sz w:val="28"/>
          <w:szCs w:val="28"/>
        </w:rPr>
        <w:t xml:space="preserve">  </w:t>
      </w:r>
    </w:p>
    <w:p w14:paraId="23E661BA" w14:textId="77777777" w:rsidR="008E5C6F" w:rsidRDefault="008E5C6F" w:rsidP="00F4772F">
      <w:pPr>
        <w:spacing w:after="0" w:line="240" w:lineRule="auto"/>
        <w:rPr>
          <w:rFonts w:cstheme="minorHAnsi"/>
          <w:sz w:val="28"/>
          <w:szCs w:val="28"/>
        </w:rPr>
      </w:pPr>
    </w:p>
    <w:p w14:paraId="24A41C72" w14:textId="77BFB5FD" w:rsidR="008E5C6F" w:rsidRDefault="008E5C6F" w:rsidP="00F4772F">
      <w:pPr>
        <w:spacing w:after="0" w:line="240" w:lineRule="auto"/>
        <w:rPr>
          <w:rFonts w:cstheme="minorHAnsi"/>
          <w:sz w:val="28"/>
          <w:szCs w:val="28"/>
        </w:rPr>
      </w:pPr>
      <w:r>
        <w:rPr>
          <w:rFonts w:cstheme="minorHAnsi"/>
          <w:sz w:val="28"/>
          <w:szCs w:val="28"/>
        </w:rPr>
        <w:t>I wonder, given government contract regulations, how we have managed to legally engage with this agreement for the past five years</w:t>
      </w:r>
      <w:r w:rsidR="00065EFE">
        <w:rPr>
          <w:rFonts w:cstheme="minorHAnsi"/>
          <w:sz w:val="28"/>
          <w:szCs w:val="28"/>
        </w:rPr>
        <w:t xml:space="preserve">.  </w:t>
      </w:r>
      <w:r w:rsidR="00B406B8">
        <w:rPr>
          <w:rFonts w:cstheme="minorHAnsi"/>
          <w:sz w:val="28"/>
          <w:szCs w:val="28"/>
        </w:rPr>
        <w:t>I just was given access</w:t>
      </w:r>
      <w:r w:rsidR="00CD3F57">
        <w:rPr>
          <w:rFonts w:cstheme="minorHAnsi"/>
          <w:sz w:val="28"/>
          <w:szCs w:val="28"/>
        </w:rPr>
        <w:t>, January 2</w:t>
      </w:r>
      <w:r w:rsidR="00CD3F57" w:rsidRPr="00CD3F57">
        <w:rPr>
          <w:rFonts w:cstheme="minorHAnsi"/>
          <w:sz w:val="28"/>
          <w:szCs w:val="28"/>
          <w:vertAlign w:val="superscript"/>
        </w:rPr>
        <w:t>nd</w:t>
      </w:r>
      <w:r w:rsidR="00CD3F57">
        <w:rPr>
          <w:rFonts w:cstheme="minorHAnsi"/>
          <w:sz w:val="28"/>
          <w:szCs w:val="28"/>
        </w:rPr>
        <w:t xml:space="preserve">, </w:t>
      </w:r>
      <w:r w:rsidR="00B406B8">
        <w:rPr>
          <w:rFonts w:cstheme="minorHAnsi"/>
          <w:sz w:val="28"/>
          <w:szCs w:val="28"/>
        </w:rPr>
        <w:t xml:space="preserve"> to some older agreements, going back to </w:t>
      </w:r>
      <w:r w:rsidR="00CD3F57">
        <w:rPr>
          <w:rFonts w:cstheme="minorHAnsi"/>
          <w:sz w:val="28"/>
          <w:szCs w:val="28"/>
        </w:rPr>
        <w:t xml:space="preserve">2000.  </w:t>
      </w:r>
      <w:r w:rsidR="00C22580">
        <w:rPr>
          <w:rFonts w:cstheme="minorHAnsi"/>
          <w:sz w:val="28"/>
          <w:szCs w:val="28"/>
        </w:rPr>
        <w:t xml:space="preserve">They could be enlightening.  </w:t>
      </w:r>
      <w:r>
        <w:rPr>
          <w:rFonts w:cstheme="minorHAnsi"/>
          <w:sz w:val="28"/>
          <w:szCs w:val="28"/>
        </w:rPr>
        <w:t xml:space="preserve">  The consideration exchanged must exceed that  allowable without bids.  The contract to manage HGMD certainly exceeds $120,000. Fair market rental of the maintenance facility is worth that!</w:t>
      </w:r>
      <w:r w:rsidR="00C22580">
        <w:rPr>
          <w:rFonts w:cstheme="minorHAnsi"/>
          <w:sz w:val="28"/>
          <w:szCs w:val="28"/>
        </w:rPr>
        <w:t xml:space="preserve">  </w:t>
      </w:r>
    </w:p>
    <w:p w14:paraId="3DDA7DEB" w14:textId="27332F87" w:rsidR="005C6AFA" w:rsidRDefault="005C6AFA" w:rsidP="00F4772F">
      <w:pPr>
        <w:spacing w:after="0" w:line="240" w:lineRule="auto"/>
        <w:rPr>
          <w:rFonts w:cstheme="minorHAnsi"/>
          <w:sz w:val="28"/>
          <w:szCs w:val="28"/>
        </w:rPr>
      </w:pPr>
    </w:p>
    <w:p w14:paraId="3DCF1023" w14:textId="77777777" w:rsidR="00924A9A" w:rsidRDefault="00924A9A" w:rsidP="00F4772F">
      <w:pPr>
        <w:spacing w:after="0" w:line="240" w:lineRule="auto"/>
        <w:rPr>
          <w:rFonts w:cstheme="minorHAnsi"/>
          <w:sz w:val="28"/>
          <w:szCs w:val="28"/>
        </w:rPr>
      </w:pPr>
    </w:p>
    <w:p w14:paraId="75553084" w14:textId="77777777" w:rsidR="00924A9A" w:rsidRPr="00F4772F" w:rsidRDefault="00924A9A" w:rsidP="00F4772F">
      <w:pPr>
        <w:spacing w:after="0" w:line="240" w:lineRule="auto"/>
        <w:rPr>
          <w:rFonts w:cstheme="minorHAnsi"/>
          <w:sz w:val="28"/>
          <w:szCs w:val="28"/>
        </w:rPr>
      </w:pPr>
    </w:p>
    <w:sectPr w:rsidR="00924A9A" w:rsidRPr="00F4772F" w:rsidSect="00456A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F9620" w14:textId="77777777" w:rsidR="001C6235" w:rsidRDefault="001C6235" w:rsidP="00FD57F5">
      <w:pPr>
        <w:spacing w:after="0" w:line="240" w:lineRule="auto"/>
      </w:pPr>
      <w:r>
        <w:separator/>
      </w:r>
    </w:p>
  </w:endnote>
  <w:endnote w:type="continuationSeparator" w:id="0">
    <w:p w14:paraId="23453FD8" w14:textId="77777777" w:rsidR="001C6235" w:rsidRDefault="001C6235" w:rsidP="00FD5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8D80" w14:textId="77777777" w:rsidR="008E60A0" w:rsidRDefault="008E6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D9EA" w14:textId="77777777" w:rsidR="00FD57F5" w:rsidRPr="00FD57F5" w:rsidRDefault="00FD57F5" w:rsidP="00FD57F5">
    <w:pPr>
      <w:pStyle w:val="Footer"/>
      <w:ind w:left="-346"/>
      <w:rPr>
        <w:rFonts w:ascii="Arial" w:hAnsi="Arial" w:cs="Arial"/>
        <w:b/>
        <w:sz w:val="20"/>
        <w:szCs w:val="20"/>
      </w:rPr>
    </w:pPr>
    <w:r w:rsidRPr="00FD57F5">
      <w:rPr>
        <w:rFonts w:ascii="Arial" w:hAnsi="Arial" w:cs="Arial"/>
        <w:b/>
        <w:sz w:val="20"/>
        <w:szCs w:val="20"/>
      </w:rPr>
      <w:t xml:space="preserve">2888 S. HEATHER GARDENS WAY </w:t>
    </w:r>
    <w:r w:rsidRPr="00FD57F5">
      <w:rPr>
        <w:rFonts w:ascii="Arial" w:hAnsi="Arial" w:cs="Arial"/>
        <w:b/>
        <w:bCs/>
        <w:sz w:val="20"/>
        <w:szCs w:val="20"/>
      </w:rPr>
      <w:t>• AURORA, CO 80014 • 303.755.0652 (OFFICE) • 303.745.5253 (FAX)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A2ADA" w14:textId="77777777" w:rsidR="008E60A0" w:rsidRDefault="008E6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045F" w14:textId="77777777" w:rsidR="001C6235" w:rsidRDefault="001C6235" w:rsidP="00FD57F5">
      <w:pPr>
        <w:spacing w:after="0" w:line="240" w:lineRule="auto"/>
      </w:pPr>
      <w:r>
        <w:separator/>
      </w:r>
    </w:p>
  </w:footnote>
  <w:footnote w:type="continuationSeparator" w:id="0">
    <w:p w14:paraId="0025A33D" w14:textId="77777777" w:rsidR="001C6235" w:rsidRDefault="001C6235" w:rsidP="00FD5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2423" w14:textId="77777777" w:rsidR="008E60A0" w:rsidRDefault="008E60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3BFA" w14:textId="3367500A" w:rsidR="00FD57F5" w:rsidRDefault="00000000">
    <w:pPr>
      <w:pStyle w:val="Header"/>
    </w:pPr>
    <w:sdt>
      <w:sdtPr>
        <w:rPr>
          <w:rFonts w:ascii="Arial" w:hAnsi="Arial" w:cs="Arial"/>
          <w:b/>
          <w:bCs/>
          <w:sz w:val="48"/>
        </w:rPr>
        <w:id w:val="-917863636"/>
        <w:docPartObj>
          <w:docPartGallery w:val="Page Numbers (Margins)"/>
          <w:docPartUnique/>
        </w:docPartObj>
      </w:sdtPr>
      <w:sdtContent>
        <w:r w:rsidR="008E60A0" w:rsidRPr="008E60A0">
          <w:rPr>
            <w:rFonts w:ascii="Arial" w:hAnsi="Arial" w:cs="Arial"/>
            <w:b/>
            <w:bCs/>
            <w:noProof/>
            <w:sz w:val="48"/>
          </w:rPr>
          <mc:AlternateContent>
            <mc:Choice Requires="wps">
              <w:drawing>
                <wp:anchor distT="0" distB="0" distL="114300" distR="114300" simplePos="0" relativeHeight="251660288" behindDoc="0" locked="0" layoutInCell="0" allowOverlap="1" wp14:anchorId="6E692E70" wp14:editId="053EC21D">
                  <wp:simplePos x="0" y="0"/>
                  <wp:positionH relativeFrom="leftMargin">
                    <wp:align>center</wp:align>
                  </wp:positionH>
                  <wp:positionV relativeFrom="margin">
                    <wp:align>bottom</wp:align>
                  </wp:positionV>
                  <wp:extent cx="510540" cy="2183130"/>
                  <wp:effectExtent l="0" t="0" r="3810" b="0"/>
                  <wp:wrapNone/>
                  <wp:docPr id="15947960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77599" w14:textId="77777777" w:rsidR="008E60A0" w:rsidRDefault="008E60A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692E70" id="Rectangle 1" o:spid="_x0000_s1026" style="position:absolute;margin-left:0;margin-top:0;width:40.2pt;height:171.9pt;z-index:251660288;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4277599" w14:textId="77777777" w:rsidR="008E60A0" w:rsidRDefault="008E60A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FD57F5">
      <w:rPr>
        <w:rFonts w:ascii="Arial" w:hAnsi="Arial" w:cs="Arial"/>
        <w:b/>
        <w:bCs/>
        <w:noProof/>
        <w:sz w:val="48"/>
      </w:rPr>
      <w:drawing>
        <wp:anchor distT="0" distB="0" distL="114300" distR="114300" simplePos="0" relativeHeight="251658240" behindDoc="0" locked="0" layoutInCell="1" allowOverlap="1" wp14:anchorId="2493ADE7" wp14:editId="6628F819">
          <wp:simplePos x="0" y="0"/>
          <wp:positionH relativeFrom="column">
            <wp:posOffset>-352425</wp:posOffset>
          </wp:positionH>
          <wp:positionV relativeFrom="paragraph">
            <wp:posOffset>-447674</wp:posOffset>
          </wp:positionV>
          <wp:extent cx="3790950" cy="9144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790950" cy="914400"/>
                  </a:xfrm>
                  <a:prstGeom prst="rect">
                    <a:avLst/>
                  </a:prstGeom>
                  <a:noFill/>
                </pic:spPr>
              </pic:pic>
            </a:graphicData>
          </a:graphic>
          <wp14:sizeRelH relativeFrom="margin">
            <wp14:pctWidth>0</wp14:pctWidth>
          </wp14:sizeRelH>
          <wp14:sizeRelV relativeFrom="margin">
            <wp14:pctHeight>0</wp14:pctHeight>
          </wp14:sizeRelV>
        </wp:anchor>
      </w:drawing>
    </w:r>
    <w:r w:rsidR="00FD57F5">
      <w:rPr>
        <w:rFonts w:ascii="Arial" w:hAnsi="Arial" w:cs="Arial"/>
        <w:b/>
        <w:bCs/>
        <w:sz w:val="4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D68A" w14:textId="77777777" w:rsidR="008E60A0" w:rsidRDefault="008E60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09C"/>
    <w:multiLevelType w:val="hybridMultilevel"/>
    <w:tmpl w:val="040E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B2573E"/>
    <w:multiLevelType w:val="hybridMultilevel"/>
    <w:tmpl w:val="6A000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E5442"/>
    <w:multiLevelType w:val="hybridMultilevel"/>
    <w:tmpl w:val="20B2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515644">
    <w:abstractNumId w:val="1"/>
  </w:num>
  <w:num w:numId="2" w16cid:durableId="1849100115">
    <w:abstractNumId w:val="2"/>
  </w:num>
  <w:num w:numId="3" w16cid:durableId="1257444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F5"/>
    <w:rsid w:val="00016E4E"/>
    <w:rsid w:val="00065EFE"/>
    <w:rsid w:val="000B7EB3"/>
    <w:rsid w:val="000D0E7C"/>
    <w:rsid w:val="00111D96"/>
    <w:rsid w:val="001A10EC"/>
    <w:rsid w:val="001C6235"/>
    <w:rsid w:val="001E5EBC"/>
    <w:rsid w:val="001F77EF"/>
    <w:rsid w:val="00250248"/>
    <w:rsid w:val="00290EB5"/>
    <w:rsid w:val="00293435"/>
    <w:rsid w:val="002E5C3B"/>
    <w:rsid w:val="003012EA"/>
    <w:rsid w:val="00317ABB"/>
    <w:rsid w:val="00390F5C"/>
    <w:rsid w:val="003A17B2"/>
    <w:rsid w:val="003D4042"/>
    <w:rsid w:val="00456ACC"/>
    <w:rsid w:val="0048001B"/>
    <w:rsid w:val="004E40EC"/>
    <w:rsid w:val="005065E2"/>
    <w:rsid w:val="00567817"/>
    <w:rsid w:val="005C6AFA"/>
    <w:rsid w:val="005D72DE"/>
    <w:rsid w:val="00607F19"/>
    <w:rsid w:val="006130DD"/>
    <w:rsid w:val="00626728"/>
    <w:rsid w:val="006851EE"/>
    <w:rsid w:val="006D2F01"/>
    <w:rsid w:val="006F2B83"/>
    <w:rsid w:val="0071711D"/>
    <w:rsid w:val="00730E42"/>
    <w:rsid w:val="007B0F41"/>
    <w:rsid w:val="007E055F"/>
    <w:rsid w:val="008103F3"/>
    <w:rsid w:val="0084464C"/>
    <w:rsid w:val="008E5C6F"/>
    <w:rsid w:val="008E60A0"/>
    <w:rsid w:val="008F3DB9"/>
    <w:rsid w:val="00904A38"/>
    <w:rsid w:val="00924A9A"/>
    <w:rsid w:val="009C1D76"/>
    <w:rsid w:val="00AE1370"/>
    <w:rsid w:val="00B11662"/>
    <w:rsid w:val="00B406B8"/>
    <w:rsid w:val="00B87A69"/>
    <w:rsid w:val="00BD70DC"/>
    <w:rsid w:val="00C22580"/>
    <w:rsid w:val="00C82AF4"/>
    <w:rsid w:val="00CD3F57"/>
    <w:rsid w:val="00CF174A"/>
    <w:rsid w:val="00D25A69"/>
    <w:rsid w:val="00D404ED"/>
    <w:rsid w:val="00D62BFE"/>
    <w:rsid w:val="00D65CEE"/>
    <w:rsid w:val="00F10E04"/>
    <w:rsid w:val="00F4772F"/>
    <w:rsid w:val="00F76F3E"/>
    <w:rsid w:val="00FA64EC"/>
    <w:rsid w:val="00FD5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C764A"/>
  <w15:docId w15:val="{73D7F802-132E-4793-9CC4-14D81E61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7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7F5"/>
  </w:style>
  <w:style w:type="paragraph" w:styleId="Footer">
    <w:name w:val="footer"/>
    <w:basedOn w:val="Normal"/>
    <w:link w:val="FooterChar"/>
    <w:uiPriority w:val="99"/>
    <w:unhideWhenUsed/>
    <w:rsid w:val="00FD57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7F5"/>
  </w:style>
  <w:style w:type="table" w:styleId="TableGrid">
    <w:name w:val="Table Grid"/>
    <w:basedOn w:val="TableNormal"/>
    <w:uiPriority w:val="39"/>
    <w:rsid w:val="003D40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wyches</dc:creator>
  <cp:lastModifiedBy>Rita Effler</cp:lastModifiedBy>
  <cp:revision>26</cp:revision>
  <dcterms:created xsi:type="dcterms:W3CDTF">2024-01-02T00:59:00Z</dcterms:created>
  <dcterms:modified xsi:type="dcterms:W3CDTF">2024-01-03T02:46:00Z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0c9f766b92b35cc47e655b0f8110c441ee81264e06215c97984b3a5554a2766d</vt:lpwstr>
  </property>
</Properties>
</file>